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38" w:rsidRDefault="00091A38" w:rsidP="00091A38">
      <w:pPr>
        <w:shd w:val="clear" w:color="auto" w:fill="FFFFFF"/>
        <w:spacing w:before="120" w:after="225" w:line="264" w:lineRule="atLeast"/>
        <w:outlineLvl w:val="0"/>
        <w:rPr>
          <w:rFonts w:ascii="Georgia" w:eastAsia="Times New Roman" w:hAnsi="Georgia" w:cs="Times New Roman"/>
          <w:color w:val="333333"/>
          <w:kern w:val="36"/>
          <w:sz w:val="42"/>
          <w:szCs w:val="42"/>
        </w:rPr>
      </w:pPr>
      <w:permStart w:id="0" w:edGrp="everyone"/>
      <w:permEnd w:id="0"/>
      <w:r w:rsidRPr="00091A38">
        <w:rPr>
          <w:rFonts w:ascii="Georgia" w:eastAsia="Times New Roman" w:hAnsi="Georgia" w:cs="Times New Roman"/>
          <w:color w:val="333333"/>
          <w:kern w:val="36"/>
          <w:sz w:val="42"/>
          <w:szCs w:val="42"/>
        </w:rPr>
        <w:t>Evolving roles for oncology nurses: Biospecimen collection</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The personalized oncology revolution hinges importantly on determining and monitoring tumor and patient genetics and molecular biomarkers that can guide targeted therapy. The oncology nurse is frequently responsible for collecting, preparing, and often, managing, the biospecimens needed for these analyses.</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As molecular tests have proliferated, the “complexity, required knowledge, and expectations of the oncology nurse have changed dramatically over the past decade,” says Sharon Kaufman, MS, a research protocol specialist at the Mayo Clinic Cancer Center in Rochester, Minnesota.</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“Many cancers are caused, at least in part, by several different genetic mutations along several different metabolic pathways,” Kaufman and coauthors noted in a recent review on oncology biospecimen collection and processing.</w:t>
      </w:r>
      <w:r w:rsidRPr="00D0702B">
        <w:rPr>
          <w:rFonts w:ascii="Arial" w:hAnsi="Arial" w:cs="Arial"/>
          <w:noProof/>
          <w:color w:val="333333"/>
          <w:sz w:val="21"/>
          <w:szCs w:val="21"/>
          <w:vertAlign w:val="superscript"/>
        </w:rPr>
        <w:t>1</w:t>
      </w:r>
      <w:r w:rsidRPr="00D0702B">
        <w:rPr>
          <w:rStyle w:val="apple-converted-space"/>
          <w:rFonts w:ascii="Arial" w:hAnsi="Arial" w:cs="Arial"/>
          <w:noProof/>
          <w:color w:val="333333"/>
          <w:sz w:val="21"/>
          <w:szCs w:val="21"/>
        </w:rPr>
        <w:t> </w:t>
      </w:r>
      <w:r w:rsidRPr="00D0702B">
        <w:rPr>
          <w:rFonts w:ascii="Arial" w:hAnsi="Arial" w:cs="Arial"/>
          <w:noProof/>
          <w:color w:val="333333"/>
          <w:sz w:val="21"/>
          <w:szCs w:val="21"/>
        </w:rPr>
        <w:t>These mutations and their gene products can be inhibited by targeted molecular therapies, at least temporarily.</w:t>
      </w:r>
      <w:r w:rsidRPr="00D0702B">
        <w:rPr>
          <w:rFonts w:ascii="Arial" w:hAnsi="Arial" w:cs="Arial"/>
          <w:noProof/>
          <w:color w:val="333333"/>
          <w:sz w:val="21"/>
          <w:szCs w:val="21"/>
          <w:vertAlign w:val="superscript"/>
        </w:rPr>
        <w:t>1</w:t>
      </w:r>
      <w:r w:rsidRPr="00D0702B">
        <w:rPr>
          <w:rStyle w:val="apple-converted-space"/>
          <w:rFonts w:ascii="Arial" w:hAnsi="Arial" w:cs="Arial"/>
          <w:noProof/>
          <w:color w:val="333333"/>
          <w:sz w:val="21"/>
          <w:szCs w:val="21"/>
        </w:rPr>
        <w:t> </w:t>
      </w:r>
      <w:r w:rsidRPr="00D0702B">
        <w:rPr>
          <w:rFonts w:ascii="Arial" w:hAnsi="Arial" w:cs="Arial"/>
          <w:noProof/>
          <w:color w:val="333333"/>
          <w:sz w:val="21"/>
          <w:szCs w:val="21"/>
        </w:rPr>
        <w:t>A goal of personalized oncology is to develop such targeted therapies and deploy them strategically against tumors with specific vulnerabilities. Toward that end, and to develop better risk-stratification tools, myriad prognostic biomarkers derived from blood and tumor tissue exist and are under development.</w:t>
      </w:r>
      <w:r w:rsidRPr="00D0702B">
        <w:rPr>
          <w:rFonts w:ascii="Arial" w:hAnsi="Arial" w:cs="Arial"/>
          <w:noProof/>
          <w:color w:val="333333"/>
          <w:sz w:val="21"/>
          <w:szCs w:val="21"/>
          <w:vertAlign w:val="superscript"/>
        </w:rPr>
        <w:t>1,2</w:t>
      </w:r>
    </w:p>
    <w:p w:rsidR="00091A38" w:rsidRPr="00D0702B" w:rsidRDefault="00091A38" w:rsidP="00091A38">
      <w:pPr>
        <w:pStyle w:val="NormalWeb"/>
        <w:shd w:val="clear" w:color="auto" w:fill="FFFFFF"/>
        <w:spacing w:before="0" w:beforeAutospacing="0" w:after="0" w:afterAutospacing="0" w:line="336" w:lineRule="atLeast"/>
        <w:rPr>
          <w:rFonts w:ascii="Arial" w:hAnsi="Arial" w:cs="Arial"/>
          <w:noProof/>
          <w:color w:val="333333"/>
          <w:sz w:val="21"/>
          <w:szCs w:val="21"/>
        </w:rPr>
      </w:pPr>
      <w:r w:rsidRPr="00D0702B">
        <w:rPr>
          <w:rFonts w:ascii="Arial" w:hAnsi="Arial" w:cs="Arial"/>
          <w:noProof/>
          <w:color w:val="333333"/>
          <w:sz w:val="21"/>
          <w:szCs w:val="21"/>
        </w:rPr>
        <w:t>Educating patients about the purpose of these tests, and collecting and preparing biospecimens with which to perform them, frequently fall within the responsibilities of the oncology nurse. “Oncology nurses used to monitor vital signs and administer chemotherapy,” Kaufman tells</w:t>
      </w:r>
      <w:r w:rsidRPr="00D0702B">
        <w:rPr>
          <w:rStyle w:val="apple-converted-space"/>
          <w:rFonts w:ascii="Arial" w:hAnsi="Arial" w:cs="Arial"/>
          <w:noProof/>
          <w:color w:val="333333"/>
          <w:sz w:val="21"/>
          <w:szCs w:val="21"/>
        </w:rPr>
        <w:t> </w:t>
      </w:r>
      <w:r w:rsidRPr="00D0702B">
        <w:rPr>
          <w:rFonts w:ascii="Arial" w:hAnsi="Arial" w:cs="Arial"/>
          <w:i/>
          <w:iCs/>
          <w:noProof/>
          <w:color w:val="333333"/>
          <w:sz w:val="21"/>
          <w:szCs w:val="21"/>
          <w:bdr w:val="none" w:sz="0" w:space="0" w:color="auto" w:frame="1"/>
        </w:rPr>
        <w:t>Oncology Nurse Advisor</w:t>
      </w:r>
      <w:r w:rsidRPr="00D0702B">
        <w:rPr>
          <w:rFonts w:ascii="Arial" w:hAnsi="Arial" w:cs="Arial"/>
          <w:noProof/>
          <w:color w:val="333333"/>
          <w:sz w:val="21"/>
          <w:szCs w:val="21"/>
        </w:rPr>
        <w:t>. “Now, they [also] need to be experts in collecting and processing blood and tissue; dissecting clinical trial protocols to determine the details of collecting and processing; helping guide patients through their treatment options, clinical trial options; and then monitoring vital signs and administering chemotherapy.”</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Oncology nurses must familiarize themselves with biomarker analyses relevant to their patients, biospecimen collection techniques for biomarker analysis, and not least, institutional policies, standard operating procedures, and laboratory manual guidance.</w:t>
      </w:r>
    </w:p>
    <w:p w:rsidR="00091A38" w:rsidRPr="00D0702B" w:rsidRDefault="00091A38" w:rsidP="00091A38">
      <w:pPr>
        <w:pStyle w:val="NormalWeb"/>
        <w:shd w:val="clear" w:color="auto" w:fill="FFFFFF"/>
        <w:spacing w:before="0" w:beforeAutospacing="0" w:after="0" w:afterAutospacing="0" w:line="336" w:lineRule="atLeast"/>
        <w:rPr>
          <w:rFonts w:ascii="Arial" w:hAnsi="Arial" w:cs="Arial"/>
          <w:noProof/>
          <w:color w:val="333333"/>
          <w:sz w:val="21"/>
          <w:szCs w:val="21"/>
        </w:rPr>
      </w:pPr>
      <w:r w:rsidRPr="00D0702B">
        <w:rPr>
          <w:rFonts w:ascii="Arial" w:hAnsi="Arial" w:cs="Arial"/>
          <w:noProof/>
          <w:color w:val="333333"/>
          <w:sz w:val="21"/>
          <w:szCs w:val="21"/>
        </w:rPr>
        <w:t>Increasingly, effective treatment planning and monitoring require detailed insight into the tumor's molecular biology and genomics. Circulating tumor cells can now be captured and isolated for genetic analysis and determination of a tumor's suitability for targeted therapies, a process sometimes called</w:t>
      </w:r>
      <w:r w:rsidRPr="00D0702B">
        <w:rPr>
          <w:rStyle w:val="apple-converted-space"/>
          <w:rFonts w:ascii="Arial" w:hAnsi="Arial" w:cs="Arial"/>
          <w:noProof/>
          <w:color w:val="333333"/>
          <w:sz w:val="21"/>
          <w:szCs w:val="21"/>
        </w:rPr>
        <w:t> </w:t>
      </w:r>
      <w:r w:rsidRPr="00D0702B">
        <w:rPr>
          <w:rFonts w:ascii="Arial" w:hAnsi="Arial" w:cs="Arial"/>
          <w:i/>
          <w:iCs/>
          <w:noProof/>
          <w:color w:val="333333"/>
          <w:sz w:val="21"/>
          <w:szCs w:val="21"/>
          <w:bdr w:val="none" w:sz="0" w:space="0" w:color="auto" w:frame="1"/>
        </w:rPr>
        <w:t>liquid biopsy.</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 xml:space="preserve">“A few decades ago, a drop of blood was used to determine blood type, biopsies were believed to enhance the likelihood of metastases, and nursing assessment for a person believed to have cancer </w:t>
      </w:r>
      <w:r w:rsidRPr="00D0702B">
        <w:rPr>
          <w:rFonts w:ascii="Arial" w:hAnsi="Arial" w:cs="Arial"/>
          <w:noProof/>
          <w:color w:val="333333"/>
          <w:sz w:val="21"/>
          <w:szCs w:val="21"/>
        </w:rPr>
        <w:lastRenderedPageBreak/>
        <w:t>was limited to palpation and examination of [radiographs],” noted Kaufman and coauthors.</w:t>
      </w:r>
      <w:r w:rsidRPr="00D0702B">
        <w:rPr>
          <w:rFonts w:ascii="Arial" w:hAnsi="Arial" w:cs="Arial"/>
          <w:noProof/>
          <w:color w:val="333333"/>
          <w:sz w:val="21"/>
          <w:szCs w:val="21"/>
          <w:vertAlign w:val="superscript"/>
        </w:rPr>
        <w:t>1</w:t>
      </w:r>
      <w:r w:rsidRPr="00D0702B">
        <w:rPr>
          <w:rStyle w:val="apple-converted-space"/>
          <w:rFonts w:ascii="Arial" w:hAnsi="Arial" w:cs="Arial"/>
          <w:noProof/>
          <w:color w:val="333333"/>
          <w:sz w:val="21"/>
          <w:szCs w:val="21"/>
        </w:rPr>
        <w:t> </w:t>
      </w:r>
      <w:r w:rsidRPr="00D0702B">
        <w:rPr>
          <w:rFonts w:ascii="Arial" w:hAnsi="Arial" w:cs="Arial"/>
          <w:noProof/>
          <w:color w:val="333333"/>
          <w:sz w:val="21"/>
          <w:szCs w:val="21"/>
        </w:rPr>
        <w:t>Those ideas have changed. Today, that drop of blood provides much more information; it essentially opens a window into a person's genetic makeup and risk profile.</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Biopsy specimens can be subtyped not just by histology, but tumor genetics and epigenetics for targeted therapy and stored for future research use as well. Nurses are expected to coordinate the correct collection of blood and tissue; mediate the overlapping needs of the clinical and research teams; then navigate patients through a maze information systems that will help them understand risk, diagnosis, and treatment data at an individualized level.</w:t>
      </w:r>
      <w:r w:rsidRPr="00D0702B">
        <w:rPr>
          <w:rFonts w:ascii="Arial" w:hAnsi="Arial" w:cs="Arial"/>
          <w:noProof/>
          <w:color w:val="333333"/>
          <w:sz w:val="21"/>
          <w:szCs w:val="21"/>
          <w:vertAlign w:val="superscript"/>
        </w:rPr>
        <w:t>1 </w:t>
      </w:r>
    </w:p>
    <w:p w:rsidR="00091A38" w:rsidRPr="00D0702B" w:rsidRDefault="00091A38" w:rsidP="00091A38">
      <w:pPr>
        <w:pStyle w:val="Heading2"/>
        <w:shd w:val="clear" w:color="auto" w:fill="FFFFFF"/>
        <w:spacing w:before="0"/>
        <w:rPr>
          <w:rFonts w:ascii="Arial" w:hAnsi="Arial" w:cs="Arial"/>
          <w:noProof/>
          <w:color w:val="333333"/>
          <w:sz w:val="21"/>
          <w:szCs w:val="21"/>
        </w:rPr>
      </w:pPr>
      <w:r w:rsidRPr="00D0702B">
        <w:rPr>
          <w:rFonts w:ascii="Arial" w:hAnsi="Arial" w:cs="Arial"/>
          <w:noProof/>
          <w:color w:val="333333"/>
          <w:sz w:val="21"/>
          <w:szCs w:val="21"/>
        </w:rPr>
        <w:t>BLOOD COLLECTION</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Collection tubes are typically 10 mL; coagulation tubes, used to collect samples for coagulation determination, are typically 4 mL.</w:t>
      </w:r>
      <w:r w:rsidRPr="00D0702B">
        <w:rPr>
          <w:rFonts w:ascii="Arial" w:hAnsi="Arial" w:cs="Arial"/>
          <w:noProof/>
          <w:color w:val="333333"/>
          <w:sz w:val="21"/>
          <w:szCs w:val="21"/>
          <w:vertAlign w:val="superscript"/>
        </w:rPr>
        <w:t>1</w:t>
      </w:r>
      <w:r w:rsidRPr="00D0702B">
        <w:rPr>
          <w:rStyle w:val="apple-converted-space"/>
          <w:rFonts w:ascii="Arial" w:hAnsi="Arial" w:cs="Arial"/>
          <w:noProof/>
          <w:color w:val="333333"/>
          <w:sz w:val="21"/>
          <w:szCs w:val="21"/>
        </w:rPr>
        <w:t> </w:t>
      </w:r>
      <w:r w:rsidRPr="00D0702B">
        <w:rPr>
          <w:rFonts w:ascii="Arial" w:hAnsi="Arial" w:cs="Arial"/>
          <w:noProof/>
          <w:color w:val="333333"/>
          <w:sz w:val="21"/>
          <w:szCs w:val="21"/>
        </w:rPr>
        <w:t>“There is some good news here,” says Kaufman. “Advances in the tests and assays themselves have allowed smaller and smaller volumes for testing, into the range of nanograms.” That should translate to smaller and smaller blood volumes in the coming years.</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Written protocols or lab manuals should be reviewed prior to a blood draw for specific requirements associated with a given test. Given the rapid accumulation of new biomarkers and tests, the updating of lab manuals represents a conundrum, cautions Kaufman.</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“Typically, the lab manual does not require IRB [Institutional Review Board/Human Subjects Review Committee] review and can be changed relatively easily,” she notes. “That's fine when administrative details need to be updated. However, if something in the lab manual changes that affects the protocol or budget—volume of blood, ultrasound guidance for a biopsy—then it should be subject to review.”</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Depending on the intended analysis, the blood collection tubes will contain anticoagulants or preservatives, as indicated by color-coded caps.</w:t>
      </w:r>
      <w:r w:rsidRPr="00D0702B">
        <w:rPr>
          <w:rFonts w:ascii="Arial" w:hAnsi="Arial" w:cs="Arial"/>
          <w:noProof/>
          <w:color w:val="333333"/>
          <w:sz w:val="21"/>
          <w:szCs w:val="21"/>
          <w:vertAlign w:val="superscript"/>
        </w:rPr>
        <w:t>1</w:t>
      </w:r>
      <w:r w:rsidRPr="00D0702B">
        <w:rPr>
          <w:rStyle w:val="apple-converted-space"/>
          <w:rFonts w:ascii="Arial" w:hAnsi="Arial" w:cs="Arial"/>
          <w:noProof/>
          <w:color w:val="333333"/>
          <w:sz w:val="21"/>
          <w:szCs w:val="21"/>
        </w:rPr>
        <w:t> </w:t>
      </w:r>
      <w:r w:rsidRPr="00D0702B">
        <w:rPr>
          <w:rFonts w:ascii="Arial" w:hAnsi="Arial" w:cs="Arial"/>
          <w:noProof/>
          <w:color w:val="333333"/>
          <w:sz w:val="21"/>
          <w:szCs w:val="21"/>
        </w:rPr>
        <w:t>Red tube caps typically indicate no additives, such as those used for identifying antibodies, immune proteins, or lipids; whole-blood coagulation tubes have light blue caps; lavender or royal blue caps contain clot-preventing EDTA for complete blood counts and DNA extraction for genetic mutation analysis; gray-capped tubes contain sodium fluoride to preserve glucose and allow electrolyte analysis; and green-capped tubes contain heparin to prevent clotting for rapid blood chemistry labs.</w:t>
      </w:r>
      <w:r w:rsidRPr="00D0702B">
        <w:rPr>
          <w:rFonts w:ascii="Arial" w:hAnsi="Arial" w:cs="Arial"/>
          <w:noProof/>
          <w:color w:val="333333"/>
          <w:sz w:val="21"/>
          <w:szCs w:val="21"/>
          <w:vertAlign w:val="superscript"/>
        </w:rPr>
        <w:t>1</w:t>
      </w:r>
      <w:r w:rsidRPr="00D0702B">
        <w:rPr>
          <w:rStyle w:val="apple-converted-space"/>
          <w:rFonts w:ascii="Arial" w:hAnsi="Arial" w:cs="Arial"/>
          <w:noProof/>
          <w:color w:val="333333"/>
          <w:sz w:val="21"/>
          <w:szCs w:val="21"/>
        </w:rPr>
        <w:t> </w:t>
      </w:r>
      <w:r w:rsidRPr="00D0702B">
        <w:rPr>
          <w:rFonts w:ascii="Arial" w:hAnsi="Arial" w:cs="Arial"/>
          <w:noProof/>
          <w:color w:val="333333"/>
          <w:sz w:val="21"/>
          <w:szCs w:val="21"/>
        </w:rPr>
        <w:t>Yellow/purple (bicolored tiger-striped) tube caps usually represent collection tubes for circulating tumor cell (liquid biopsy) analyses of cancer genomes and genetic mutations.</w:t>
      </w:r>
      <w:r w:rsidRPr="00D0702B">
        <w:rPr>
          <w:rFonts w:ascii="Arial" w:hAnsi="Arial" w:cs="Arial"/>
          <w:noProof/>
          <w:color w:val="333333"/>
          <w:sz w:val="21"/>
          <w:szCs w:val="21"/>
          <w:vertAlign w:val="superscript"/>
        </w:rPr>
        <w:t>1</w:t>
      </w:r>
      <w:r w:rsidRPr="00D0702B">
        <w:rPr>
          <w:rStyle w:val="apple-converted-space"/>
          <w:rFonts w:ascii="Arial" w:hAnsi="Arial" w:cs="Arial"/>
          <w:noProof/>
          <w:color w:val="333333"/>
          <w:sz w:val="21"/>
          <w:szCs w:val="21"/>
        </w:rPr>
        <w:t> </w:t>
      </w:r>
      <w:r w:rsidRPr="00D0702B">
        <w:rPr>
          <w:rFonts w:ascii="Arial" w:hAnsi="Arial" w:cs="Arial"/>
          <w:noProof/>
          <w:color w:val="333333"/>
          <w:sz w:val="21"/>
          <w:szCs w:val="21"/>
        </w:rPr>
        <w:t>Close attention to collected volumes is necessary, particularly as a collection tube's expiration date approaches and tube vacuums grow weaker, resulting in incomplete filling.</w:t>
      </w:r>
      <w:r w:rsidRPr="00D0702B">
        <w:rPr>
          <w:rFonts w:ascii="Arial" w:hAnsi="Arial" w:cs="Arial"/>
          <w:noProof/>
          <w:color w:val="333333"/>
          <w:sz w:val="21"/>
          <w:szCs w:val="21"/>
          <w:vertAlign w:val="superscript"/>
        </w:rPr>
        <w:t>1</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lastRenderedPageBreak/>
        <w:t>Blood collection supplies should be organized and reviewed before placing the tourniquet, Kaufman and coauthors emphasize.</w:t>
      </w:r>
      <w:r w:rsidRPr="00D0702B">
        <w:rPr>
          <w:rFonts w:ascii="Arial" w:hAnsi="Arial" w:cs="Arial"/>
          <w:noProof/>
          <w:color w:val="333333"/>
          <w:sz w:val="21"/>
          <w:szCs w:val="21"/>
          <w:vertAlign w:val="superscript"/>
        </w:rPr>
        <w:t>1</w:t>
      </w:r>
      <w:r w:rsidRPr="00D0702B">
        <w:rPr>
          <w:rStyle w:val="apple-converted-space"/>
          <w:rFonts w:ascii="Arial" w:hAnsi="Arial" w:cs="Arial"/>
          <w:noProof/>
          <w:color w:val="333333"/>
          <w:sz w:val="21"/>
          <w:szCs w:val="21"/>
        </w:rPr>
        <w:t> </w:t>
      </w:r>
      <w:r w:rsidRPr="00D0702B">
        <w:rPr>
          <w:rFonts w:ascii="Arial" w:hAnsi="Arial" w:cs="Arial"/>
          <w:noProof/>
          <w:color w:val="333333"/>
          <w:sz w:val="21"/>
          <w:szCs w:val="21"/>
        </w:rPr>
        <w:t>“(T)he longer the tourniquet is in place, the higher the risk of hemoconcentration of nonfilterable elements such as proteins in the blood,” they explain.</w:t>
      </w:r>
      <w:r w:rsidRPr="00D0702B">
        <w:rPr>
          <w:rFonts w:ascii="Arial" w:hAnsi="Arial" w:cs="Arial"/>
          <w:noProof/>
          <w:color w:val="333333"/>
          <w:sz w:val="21"/>
          <w:szCs w:val="21"/>
          <w:vertAlign w:val="superscript"/>
        </w:rPr>
        <w:t>1</w:t>
      </w:r>
      <w:r w:rsidRPr="00D0702B">
        <w:rPr>
          <w:rStyle w:val="apple-converted-space"/>
          <w:rFonts w:ascii="Arial" w:hAnsi="Arial" w:cs="Arial"/>
          <w:noProof/>
          <w:color w:val="333333"/>
          <w:sz w:val="21"/>
          <w:szCs w:val="21"/>
        </w:rPr>
        <w:t> </w:t>
      </w:r>
      <w:r w:rsidRPr="00D0702B">
        <w:rPr>
          <w:rFonts w:ascii="Arial" w:hAnsi="Arial" w:cs="Arial"/>
          <w:noProof/>
          <w:color w:val="333333"/>
          <w:sz w:val="21"/>
          <w:szCs w:val="21"/>
        </w:rPr>
        <w:t>“If the blood must be drawn from the same arm as an intravenous access site, then the tourniquet must be placed several inches above the site and only tight enough to restrict superficial venous flow. Tourniquets should not be left in place longer than 2 minutes before being loosened.”</w:t>
      </w:r>
    </w:p>
    <w:p w:rsidR="00091A38" w:rsidRPr="00D0702B" w:rsidRDefault="00091A38" w:rsidP="00091A38">
      <w:pPr>
        <w:pStyle w:val="NormalWeb"/>
        <w:shd w:val="clear" w:color="auto" w:fill="FFFFFF"/>
        <w:spacing w:before="0" w:beforeAutospacing="0" w:after="0" w:afterAutospacing="0" w:line="336" w:lineRule="atLeast"/>
        <w:rPr>
          <w:rFonts w:ascii="Arial" w:hAnsi="Arial" w:cs="Arial"/>
          <w:noProof/>
          <w:color w:val="333333"/>
          <w:sz w:val="21"/>
          <w:szCs w:val="21"/>
        </w:rPr>
      </w:pPr>
      <w:r w:rsidRPr="00D0702B">
        <w:rPr>
          <w:rFonts w:ascii="Arial" w:hAnsi="Arial" w:cs="Arial"/>
          <w:noProof/>
          <w:color w:val="333333"/>
          <w:sz w:val="21"/>
          <w:szCs w:val="21"/>
        </w:rPr>
        <w:t>Once filled, blood collection tubes are completely inverted gently and repeatedly, typically five to 10 times. One inversion involves turning the tube completely upside-down (180˚) and back to cap-end-up</w:t>
      </w:r>
      <w:r w:rsidRPr="00D0702B">
        <w:rPr>
          <w:rFonts w:ascii="Arial" w:hAnsi="Arial" w:cs="Arial"/>
          <w:noProof/>
          <w:color w:val="333333"/>
          <w:sz w:val="21"/>
          <w:szCs w:val="21"/>
          <w:vertAlign w:val="superscript"/>
        </w:rPr>
        <w:t>1</w:t>
      </w:r>
      <w:r w:rsidRPr="00D0702B">
        <w:rPr>
          <w:rStyle w:val="apple-converted-space"/>
          <w:rFonts w:ascii="Arial" w:hAnsi="Arial" w:cs="Arial"/>
          <w:noProof/>
          <w:color w:val="333333"/>
          <w:sz w:val="21"/>
          <w:szCs w:val="21"/>
        </w:rPr>
        <w:t> </w:t>
      </w:r>
      <w:r w:rsidRPr="00D0702B">
        <w:rPr>
          <w:rFonts w:ascii="Arial" w:hAnsi="Arial" w:cs="Arial"/>
          <w:noProof/>
          <w:color w:val="333333"/>
          <w:sz w:val="21"/>
          <w:szCs w:val="21"/>
        </w:rPr>
        <w:t>(</w:t>
      </w:r>
      <w:r w:rsidRPr="00D0702B">
        <w:rPr>
          <w:rFonts w:ascii="Arial" w:hAnsi="Arial" w:cs="Arial"/>
          <w:b/>
          <w:bCs/>
          <w:noProof/>
          <w:color w:val="333333"/>
          <w:sz w:val="21"/>
          <w:szCs w:val="21"/>
          <w:bdr w:val="none" w:sz="0" w:space="0" w:color="auto" w:frame="1"/>
        </w:rPr>
        <w:t>Table 1</w:t>
      </w:r>
      <w:r w:rsidRPr="00D0702B">
        <w:rPr>
          <w:rFonts w:ascii="Arial" w:hAnsi="Arial" w:cs="Arial"/>
          <w:noProof/>
          <w:color w:val="333333"/>
          <w:sz w:val="21"/>
          <w:szCs w:val="21"/>
        </w:rPr>
        <w:t>). If the protocol calls for clot formation within the tube, the tube is left at room temperature for a minimum of 30 minutes.</w:t>
      </w:r>
      <w:r w:rsidRPr="00D0702B">
        <w:rPr>
          <w:rFonts w:ascii="Arial" w:hAnsi="Arial" w:cs="Arial"/>
          <w:noProof/>
          <w:color w:val="333333"/>
          <w:sz w:val="21"/>
          <w:szCs w:val="21"/>
          <w:vertAlign w:val="superscript"/>
        </w:rPr>
        <w:t>1</w:t>
      </w:r>
    </w:p>
    <w:p w:rsidR="00091A38" w:rsidRPr="00D0702B" w:rsidRDefault="00091A38" w:rsidP="00091A38">
      <w:pPr>
        <w:pStyle w:val="NormalWeb"/>
        <w:shd w:val="clear" w:color="auto" w:fill="FFFFFF"/>
        <w:spacing w:before="0" w:beforeAutospacing="0" w:after="0" w:afterAutospacing="0" w:line="336" w:lineRule="atLeast"/>
        <w:rPr>
          <w:rFonts w:ascii="Arial" w:hAnsi="Arial" w:cs="Arial"/>
          <w:noProof/>
          <w:color w:val="333333"/>
          <w:sz w:val="21"/>
          <w:szCs w:val="21"/>
        </w:rPr>
      </w:pPr>
      <w:r w:rsidRPr="00D0702B">
        <w:rPr>
          <w:rFonts w:ascii="Arial" w:hAnsi="Arial" w:cs="Arial"/>
          <w:b/>
          <w:bCs/>
          <w:noProof/>
          <w:color w:val="333333"/>
          <w:sz w:val="21"/>
          <w:szCs w:val="21"/>
          <w:bdr w:val="none" w:sz="0" w:space="0" w:color="auto" w:frame="1"/>
        </w:rPr>
        <w:t>TABLE 1. Tube handling for blood collections</w:t>
      </w:r>
      <w:r w:rsidRPr="00D0702B">
        <w:rPr>
          <w:rFonts w:ascii="Arial" w:hAnsi="Arial" w:cs="Arial"/>
          <w:b/>
          <w:bCs/>
          <w:noProof/>
          <w:color w:val="333333"/>
          <w:sz w:val="21"/>
          <w:szCs w:val="21"/>
          <w:bdr w:val="none" w:sz="0" w:space="0" w:color="auto" w:frame="1"/>
          <w:vertAlign w:val="superscript"/>
        </w:rPr>
        <w:t>1</w:t>
      </w:r>
      <w:r w:rsidRPr="00D0702B">
        <w:rPr>
          <w:rFonts w:ascii="Arial" w:hAnsi="Arial" w:cs="Arial"/>
          <w:b/>
          <w:bCs/>
          <w:noProof/>
          <w:color w:val="333333"/>
          <w:sz w:val="21"/>
          <w:szCs w:val="21"/>
          <w:bdr w:val="none" w:sz="0" w:space="0" w:color="auto" w:frame="1"/>
        </w:rPr>
        <w:t> </w:t>
      </w:r>
    </w:p>
    <w:tbl>
      <w:tblPr>
        <w:tblW w:w="5000" w:type="pct"/>
        <w:tblCellSpacing w:w="15" w:type="dxa"/>
        <w:shd w:val="clear" w:color="auto" w:fill="FFFFFF"/>
        <w:tblCellMar>
          <w:left w:w="0" w:type="dxa"/>
          <w:right w:w="0" w:type="dxa"/>
        </w:tblCellMar>
        <w:tblLook w:val="04A0"/>
      </w:tblPr>
      <w:tblGrid>
        <w:gridCol w:w="4687"/>
        <w:gridCol w:w="4779"/>
      </w:tblGrid>
      <w:tr w:rsidR="00091A38" w:rsidRPr="00D0702B" w:rsidTr="00091A38">
        <w:trPr>
          <w:gridAfter w:val="1"/>
          <w:wAfter w:w="4245" w:type="dxa"/>
          <w:tblCellSpacing w:w="15" w:type="dxa"/>
        </w:trPr>
        <w:tc>
          <w:tcPr>
            <w:tcW w:w="0" w:type="auto"/>
            <w:shd w:val="clear" w:color="auto" w:fill="auto"/>
            <w:vAlign w:val="center"/>
            <w:hideMark/>
          </w:tcPr>
          <w:p w:rsidR="00091A38" w:rsidRPr="00D0702B" w:rsidRDefault="00091A38">
            <w:pPr>
              <w:rPr>
                <w:rFonts w:ascii="Arial" w:hAnsi="Arial" w:cs="Arial"/>
                <w:noProof/>
                <w:color w:val="333333"/>
                <w:sz w:val="21"/>
                <w:szCs w:val="21"/>
              </w:rPr>
            </w:pPr>
          </w:p>
        </w:tc>
      </w:tr>
      <w:tr w:rsidR="00091A38" w:rsidRPr="00D0702B" w:rsidTr="00091A38">
        <w:trPr>
          <w:tblCellSpacing w:w="15" w:type="dxa"/>
        </w:trPr>
        <w:tc>
          <w:tcPr>
            <w:tcW w:w="4530" w:type="dxa"/>
            <w:shd w:val="clear" w:color="auto" w:fill="C2CFCF"/>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b/>
                <w:bCs/>
                <w:noProof/>
                <w:color w:val="333333"/>
                <w:sz w:val="21"/>
                <w:szCs w:val="21"/>
                <w:bdr w:val="none" w:sz="0" w:space="0" w:color="auto" w:frame="1"/>
              </w:rPr>
              <w:t>Tube/syringe order of draw</w:t>
            </w:r>
          </w:p>
        </w:tc>
        <w:tc>
          <w:tcPr>
            <w:tcW w:w="4290" w:type="dxa"/>
            <w:shd w:val="clear" w:color="auto" w:fill="C2CFCF"/>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b/>
                <w:bCs/>
                <w:noProof/>
                <w:color w:val="333333"/>
                <w:sz w:val="21"/>
                <w:szCs w:val="21"/>
                <w:bdr w:val="none" w:sz="0" w:space="0" w:color="auto" w:frame="1"/>
              </w:rPr>
              <w:t>Number of inversions</w:t>
            </w:r>
          </w:p>
        </w:tc>
      </w:tr>
      <w:tr w:rsidR="00091A38" w:rsidRPr="00D0702B" w:rsidTr="00091A38">
        <w:trPr>
          <w:tblCellSpacing w:w="15" w:type="dxa"/>
        </w:trPr>
        <w:tc>
          <w:tcPr>
            <w:tcW w:w="453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Plain syringe</w:t>
            </w:r>
          </w:p>
        </w:tc>
        <w:tc>
          <w:tcPr>
            <w:tcW w:w="429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None</w:t>
            </w:r>
          </w:p>
        </w:tc>
      </w:tr>
      <w:tr w:rsidR="00091A38" w:rsidRPr="00D0702B" w:rsidTr="00091A38">
        <w:trPr>
          <w:tblCellSpacing w:w="15" w:type="dxa"/>
        </w:trPr>
        <w:tc>
          <w:tcPr>
            <w:tcW w:w="4530" w:type="dxa"/>
            <w:shd w:val="clear" w:color="auto" w:fill="F5F6F6"/>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Royal blue (plain metal)</w:t>
            </w:r>
          </w:p>
        </w:tc>
        <w:tc>
          <w:tcPr>
            <w:tcW w:w="4290" w:type="dxa"/>
            <w:shd w:val="clear" w:color="auto" w:fill="F5F6F6"/>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5</w:t>
            </w:r>
          </w:p>
        </w:tc>
      </w:tr>
      <w:tr w:rsidR="00091A38" w:rsidRPr="00D0702B" w:rsidTr="00091A38">
        <w:trPr>
          <w:tblCellSpacing w:w="15" w:type="dxa"/>
        </w:trPr>
        <w:tc>
          <w:tcPr>
            <w:tcW w:w="453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Special coag (screw cap)</w:t>
            </w:r>
          </w:p>
        </w:tc>
        <w:tc>
          <w:tcPr>
            <w:tcW w:w="429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3-4</w:t>
            </w:r>
          </w:p>
        </w:tc>
      </w:tr>
      <w:tr w:rsidR="00091A38" w:rsidRPr="00D0702B" w:rsidTr="00091A38">
        <w:trPr>
          <w:tblCellSpacing w:w="15" w:type="dxa"/>
        </w:trPr>
        <w:tc>
          <w:tcPr>
            <w:tcW w:w="4530" w:type="dxa"/>
            <w:shd w:val="clear" w:color="auto" w:fill="F5F6F6"/>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Blue</w:t>
            </w:r>
          </w:p>
        </w:tc>
        <w:tc>
          <w:tcPr>
            <w:tcW w:w="4290" w:type="dxa"/>
            <w:shd w:val="clear" w:color="auto" w:fill="F5F6F6"/>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3-4</w:t>
            </w:r>
          </w:p>
        </w:tc>
      </w:tr>
      <w:tr w:rsidR="00091A38" w:rsidRPr="00D0702B" w:rsidTr="00091A38">
        <w:trPr>
          <w:tblCellSpacing w:w="15" w:type="dxa"/>
        </w:trPr>
        <w:tc>
          <w:tcPr>
            <w:tcW w:w="453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Black</w:t>
            </w:r>
          </w:p>
        </w:tc>
        <w:tc>
          <w:tcPr>
            <w:tcW w:w="429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3-4</w:t>
            </w:r>
          </w:p>
        </w:tc>
      </w:tr>
      <w:tr w:rsidR="00091A38" w:rsidRPr="00D0702B" w:rsidTr="00091A38">
        <w:trPr>
          <w:tblCellSpacing w:w="15" w:type="dxa"/>
        </w:trPr>
        <w:tc>
          <w:tcPr>
            <w:tcW w:w="4530" w:type="dxa"/>
            <w:shd w:val="clear" w:color="auto" w:fill="F5F6F6"/>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CAI (SST)</w:t>
            </w:r>
          </w:p>
        </w:tc>
        <w:tc>
          <w:tcPr>
            <w:tcW w:w="4290" w:type="dxa"/>
            <w:shd w:val="clear" w:color="auto" w:fill="F5F6F6"/>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5</w:t>
            </w:r>
          </w:p>
        </w:tc>
      </w:tr>
      <w:tr w:rsidR="00091A38" w:rsidRPr="00D0702B" w:rsidTr="00091A38">
        <w:trPr>
          <w:tblCellSpacing w:w="15" w:type="dxa"/>
        </w:trPr>
        <w:tc>
          <w:tcPr>
            <w:tcW w:w="453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Gold (calcium &amp; other SST)</w:t>
            </w:r>
            <w:r w:rsidRPr="00D0702B">
              <w:rPr>
                <w:rFonts w:ascii="Arial" w:hAnsi="Arial" w:cs="Arial"/>
                <w:noProof/>
                <w:color w:val="333333"/>
                <w:sz w:val="21"/>
                <w:szCs w:val="21"/>
              </w:rPr>
              <w:br/>
              <w:t>Red</w:t>
            </w:r>
            <w:r w:rsidRPr="00D0702B">
              <w:rPr>
                <w:rFonts w:ascii="Arial" w:hAnsi="Arial" w:cs="Arial"/>
                <w:noProof/>
                <w:color w:val="333333"/>
                <w:sz w:val="21"/>
                <w:szCs w:val="21"/>
              </w:rPr>
              <w:br/>
              <w:t>RST</w:t>
            </w:r>
          </w:p>
        </w:tc>
        <w:tc>
          <w:tcPr>
            <w:tcW w:w="429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5</w:t>
            </w:r>
          </w:p>
        </w:tc>
      </w:tr>
      <w:tr w:rsidR="00091A38" w:rsidRPr="00D0702B" w:rsidTr="00091A38">
        <w:trPr>
          <w:tblCellSpacing w:w="15" w:type="dxa"/>
        </w:trPr>
        <w:tc>
          <w:tcPr>
            <w:tcW w:w="4530" w:type="dxa"/>
            <w:shd w:val="clear" w:color="auto" w:fill="F5F6F6"/>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Green</w:t>
            </w:r>
            <w:r w:rsidRPr="00D0702B">
              <w:rPr>
                <w:rFonts w:ascii="Arial" w:hAnsi="Arial" w:cs="Arial"/>
                <w:noProof/>
                <w:color w:val="333333"/>
                <w:sz w:val="21"/>
                <w:szCs w:val="21"/>
              </w:rPr>
              <w:br/>
              <w:t>Mint green</w:t>
            </w:r>
          </w:p>
        </w:tc>
        <w:tc>
          <w:tcPr>
            <w:tcW w:w="4290" w:type="dxa"/>
            <w:shd w:val="clear" w:color="auto" w:fill="F5F6F6"/>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8-10</w:t>
            </w:r>
          </w:p>
        </w:tc>
      </w:tr>
      <w:tr w:rsidR="00091A38" w:rsidRPr="00D0702B" w:rsidTr="00091A38">
        <w:trPr>
          <w:tblCellSpacing w:w="15" w:type="dxa"/>
        </w:trPr>
        <w:tc>
          <w:tcPr>
            <w:tcW w:w="453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lastRenderedPageBreak/>
              <w:t>Royal Blue (EDTA metal)</w:t>
            </w:r>
          </w:p>
        </w:tc>
        <w:tc>
          <w:tcPr>
            <w:tcW w:w="429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8-10</w:t>
            </w:r>
          </w:p>
        </w:tc>
      </w:tr>
      <w:tr w:rsidR="00091A38" w:rsidRPr="00D0702B" w:rsidTr="00091A38">
        <w:trPr>
          <w:tblCellSpacing w:w="15" w:type="dxa"/>
        </w:trPr>
        <w:tc>
          <w:tcPr>
            <w:tcW w:w="4530" w:type="dxa"/>
            <w:shd w:val="clear" w:color="auto" w:fill="F5F6F6"/>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Purple</w:t>
            </w:r>
            <w:r w:rsidRPr="00D0702B">
              <w:rPr>
                <w:rFonts w:ascii="Arial" w:hAnsi="Arial" w:cs="Arial"/>
                <w:noProof/>
                <w:color w:val="333333"/>
                <w:sz w:val="21"/>
                <w:szCs w:val="21"/>
              </w:rPr>
              <w:br/>
              <w:t>Pink</w:t>
            </w:r>
            <w:r w:rsidRPr="00D0702B">
              <w:rPr>
                <w:rFonts w:ascii="Arial" w:hAnsi="Arial" w:cs="Arial"/>
                <w:noProof/>
                <w:color w:val="333333"/>
                <w:sz w:val="21"/>
                <w:szCs w:val="21"/>
              </w:rPr>
              <w:br/>
              <w:t>Black/tan tiger (sequenom)</w:t>
            </w:r>
          </w:p>
        </w:tc>
        <w:tc>
          <w:tcPr>
            <w:tcW w:w="4290" w:type="dxa"/>
            <w:shd w:val="clear" w:color="auto" w:fill="F5F6F6"/>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8-10</w:t>
            </w:r>
          </w:p>
        </w:tc>
      </w:tr>
      <w:tr w:rsidR="00091A38" w:rsidRPr="00D0702B" w:rsidTr="00091A38">
        <w:trPr>
          <w:tblCellSpacing w:w="15" w:type="dxa"/>
        </w:trPr>
        <w:tc>
          <w:tcPr>
            <w:tcW w:w="453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Cellsave (purple/yellow)</w:t>
            </w:r>
          </w:p>
        </w:tc>
        <w:tc>
          <w:tcPr>
            <w:tcW w:w="429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8-10</w:t>
            </w:r>
          </w:p>
        </w:tc>
      </w:tr>
      <w:tr w:rsidR="00091A38" w:rsidRPr="00D0702B" w:rsidTr="00091A38">
        <w:trPr>
          <w:tblCellSpacing w:w="15" w:type="dxa"/>
        </w:trPr>
        <w:tc>
          <w:tcPr>
            <w:tcW w:w="4530" w:type="dxa"/>
            <w:shd w:val="clear" w:color="auto" w:fill="F5F6F6"/>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Gray</w:t>
            </w:r>
          </w:p>
        </w:tc>
        <w:tc>
          <w:tcPr>
            <w:tcW w:w="4290" w:type="dxa"/>
            <w:shd w:val="clear" w:color="auto" w:fill="F5F6F6"/>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8-10</w:t>
            </w:r>
          </w:p>
        </w:tc>
      </w:tr>
      <w:tr w:rsidR="00091A38" w:rsidRPr="00D0702B" w:rsidTr="00091A38">
        <w:trPr>
          <w:tblCellSpacing w:w="15" w:type="dxa"/>
        </w:trPr>
        <w:tc>
          <w:tcPr>
            <w:tcW w:w="453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Yellow</w:t>
            </w:r>
          </w:p>
        </w:tc>
        <w:tc>
          <w:tcPr>
            <w:tcW w:w="429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8-10</w:t>
            </w:r>
          </w:p>
        </w:tc>
      </w:tr>
      <w:tr w:rsidR="00091A38" w:rsidRPr="00D0702B" w:rsidTr="00091A38">
        <w:trPr>
          <w:tblCellSpacing w:w="15" w:type="dxa"/>
        </w:trPr>
        <w:tc>
          <w:tcPr>
            <w:tcW w:w="4530" w:type="dxa"/>
            <w:shd w:val="clear" w:color="auto" w:fill="F5F6F6"/>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Pyruvate (screw cap)</w:t>
            </w:r>
          </w:p>
        </w:tc>
        <w:tc>
          <w:tcPr>
            <w:tcW w:w="4290" w:type="dxa"/>
            <w:shd w:val="clear" w:color="auto" w:fill="F5F6F6"/>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Shake vigorously 10 times</w:t>
            </w:r>
          </w:p>
        </w:tc>
      </w:tr>
      <w:tr w:rsidR="00091A38" w:rsidRPr="00D0702B" w:rsidTr="00091A38">
        <w:trPr>
          <w:tblCellSpacing w:w="15" w:type="dxa"/>
        </w:trPr>
        <w:tc>
          <w:tcPr>
            <w:tcW w:w="453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QTB tubes (3)</w:t>
            </w:r>
          </w:p>
        </w:tc>
        <w:tc>
          <w:tcPr>
            <w:tcW w:w="429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Immediately after filling tubes, shake 10 times just firmly enough to coat tubes</w:t>
            </w:r>
          </w:p>
        </w:tc>
      </w:tr>
      <w:tr w:rsidR="00091A38" w:rsidRPr="00D0702B" w:rsidTr="00091A38">
        <w:trPr>
          <w:tblCellSpacing w:w="15" w:type="dxa"/>
        </w:trPr>
        <w:tc>
          <w:tcPr>
            <w:tcW w:w="4530" w:type="dxa"/>
            <w:shd w:val="clear" w:color="auto" w:fill="F5F6F6"/>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PAXgene (RNA)</w:t>
            </w:r>
          </w:p>
        </w:tc>
        <w:tc>
          <w:tcPr>
            <w:tcW w:w="4290" w:type="dxa"/>
            <w:shd w:val="clear" w:color="auto" w:fill="F5F6F6"/>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10</w:t>
            </w:r>
          </w:p>
        </w:tc>
      </w:tr>
      <w:tr w:rsidR="00091A38" w:rsidRPr="00D0702B" w:rsidTr="00091A38">
        <w:trPr>
          <w:tblCellSpacing w:w="15" w:type="dxa"/>
        </w:trPr>
        <w:tc>
          <w:tcPr>
            <w:tcW w:w="453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Lithium heparin syringe</w:t>
            </w:r>
          </w:p>
        </w:tc>
        <w:tc>
          <w:tcPr>
            <w:tcW w:w="4290" w:type="dxa"/>
            <w:shd w:val="clear" w:color="auto" w:fill="E0E2E2"/>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noProof/>
                <w:color w:val="333333"/>
                <w:sz w:val="21"/>
                <w:szCs w:val="21"/>
              </w:rPr>
              <w:t>Mix the sample horizontally for 30 seconds and then invert several times</w:t>
            </w:r>
          </w:p>
        </w:tc>
      </w:tr>
      <w:tr w:rsidR="00091A38" w:rsidRPr="00D0702B" w:rsidTr="00091A38">
        <w:trPr>
          <w:tblCellSpacing w:w="15" w:type="dxa"/>
        </w:trPr>
        <w:tc>
          <w:tcPr>
            <w:tcW w:w="9180" w:type="dxa"/>
            <w:gridSpan w:val="2"/>
            <w:shd w:val="clear" w:color="auto" w:fill="F5F6F6"/>
            <w:tcMar>
              <w:top w:w="150" w:type="dxa"/>
              <w:left w:w="150" w:type="dxa"/>
              <w:bottom w:w="150" w:type="dxa"/>
              <w:right w:w="150" w:type="dxa"/>
            </w:tcMar>
            <w:hideMark/>
          </w:tcPr>
          <w:p w:rsidR="00091A38" w:rsidRPr="00D0702B" w:rsidRDefault="00091A38">
            <w:pPr>
              <w:rPr>
                <w:rFonts w:ascii="Arial" w:hAnsi="Arial" w:cs="Arial"/>
                <w:noProof/>
                <w:color w:val="333333"/>
                <w:sz w:val="21"/>
                <w:szCs w:val="21"/>
              </w:rPr>
            </w:pPr>
            <w:r w:rsidRPr="00D0702B">
              <w:rPr>
                <w:rFonts w:ascii="Arial" w:hAnsi="Arial" w:cs="Arial"/>
                <w:b/>
                <w:bCs/>
                <w:noProof/>
                <w:color w:val="333333"/>
                <w:sz w:val="21"/>
                <w:szCs w:val="21"/>
                <w:bdr w:val="none" w:sz="0" w:space="0" w:color="auto" w:frame="1"/>
              </w:rPr>
              <w:t>KEY:</w:t>
            </w:r>
            <w:r w:rsidRPr="00D0702B">
              <w:rPr>
                <w:rStyle w:val="apple-converted-space"/>
                <w:rFonts w:ascii="Arial" w:hAnsi="Arial" w:cs="Arial"/>
                <w:noProof/>
                <w:color w:val="333333"/>
                <w:sz w:val="21"/>
                <w:szCs w:val="21"/>
              </w:rPr>
              <w:t> </w:t>
            </w:r>
            <w:r w:rsidRPr="00D0702B">
              <w:rPr>
                <w:rFonts w:ascii="Arial" w:hAnsi="Arial" w:cs="Arial"/>
                <w:noProof/>
                <w:color w:val="333333"/>
                <w:sz w:val="21"/>
                <w:szCs w:val="21"/>
              </w:rPr>
              <w:t>CAI, free ionized calcium; EDTA, ethylene diamine tetra acetate; RNA, ribonucleic acid; SST, serum separation tubes.</w:t>
            </w:r>
          </w:p>
        </w:tc>
      </w:tr>
    </w:tbl>
    <w:p w:rsidR="00091A38" w:rsidRPr="00D0702B" w:rsidRDefault="00091A38" w:rsidP="00091A38">
      <w:pPr>
        <w:rPr>
          <w:rFonts w:ascii="Times New Roman" w:hAnsi="Times New Roman" w:cs="Times New Roman"/>
          <w:noProof/>
          <w:sz w:val="24"/>
          <w:szCs w:val="24"/>
        </w:rPr>
      </w:pPr>
      <w:r w:rsidRPr="00D0702B">
        <w:rPr>
          <w:rFonts w:ascii="Arial" w:hAnsi="Arial" w:cs="Arial"/>
          <w:noProof/>
          <w:color w:val="333333"/>
          <w:sz w:val="21"/>
          <w:szCs w:val="21"/>
        </w:rPr>
        <w:br/>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Processing collected blood samples may also include centrifuge spinning at specific speeds and durations to precisely fractionate the sample into readily visible layers, with red blood cells at the bottom, above which will be found white blood cells and plasma on the top, respectively.</w:t>
      </w:r>
      <w:r w:rsidRPr="00D0702B">
        <w:rPr>
          <w:rFonts w:ascii="Arial" w:hAnsi="Arial" w:cs="Arial"/>
          <w:noProof/>
          <w:color w:val="333333"/>
          <w:sz w:val="21"/>
          <w:szCs w:val="21"/>
          <w:vertAlign w:val="superscript"/>
        </w:rPr>
        <w:t>1</w:t>
      </w:r>
      <w:r w:rsidRPr="00D0702B">
        <w:rPr>
          <w:rStyle w:val="apple-converted-space"/>
          <w:rFonts w:ascii="Arial" w:hAnsi="Arial" w:cs="Arial"/>
          <w:noProof/>
          <w:color w:val="333333"/>
          <w:sz w:val="21"/>
          <w:szCs w:val="21"/>
          <w:vertAlign w:val="superscript"/>
        </w:rPr>
        <w:t> </w:t>
      </w:r>
      <w:r w:rsidRPr="00D0702B">
        <w:rPr>
          <w:rFonts w:ascii="Arial" w:hAnsi="Arial" w:cs="Arial"/>
          <w:noProof/>
          <w:color w:val="333333"/>
          <w:sz w:val="21"/>
          <w:szCs w:val="21"/>
        </w:rPr>
        <w:t>Carefully following written protocols' specific guidance on centrifuge timing and speed is crucially important to avoid degrading the blood sample, as incorrect timing can leave blood components inadequately separated or damage blood cells.</w:t>
      </w:r>
      <w:r w:rsidRPr="00D0702B">
        <w:rPr>
          <w:rFonts w:ascii="Arial" w:hAnsi="Arial" w:cs="Arial"/>
          <w:noProof/>
          <w:color w:val="333333"/>
          <w:sz w:val="21"/>
          <w:szCs w:val="21"/>
          <w:vertAlign w:val="superscript"/>
        </w:rPr>
        <w:t>1</w:t>
      </w:r>
      <w:r w:rsidRPr="00D0702B">
        <w:rPr>
          <w:rStyle w:val="apple-converted-space"/>
          <w:rFonts w:ascii="Arial" w:hAnsi="Arial" w:cs="Arial"/>
          <w:noProof/>
          <w:color w:val="333333"/>
          <w:sz w:val="21"/>
          <w:szCs w:val="21"/>
        </w:rPr>
        <w:t> </w:t>
      </w:r>
      <w:r w:rsidRPr="00D0702B">
        <w:rPr>
          <w:rFonts w:ascii="Arial" w:hAnsi="Arial" w:cs="Arial"/>
          <w:noProof/>
          <w:color w:val="333333"/>
          <w:sz w:val="21"/>
          <w:szCs w:val="21"/>
        </w:rPr>
        <w:t>After a sample is centrifuged, the layers are collected with a pipette into separate tubes for subsequent analysis. Naturally, each sample must be carefully documented.  </w:t>
      </w:r>
    </w:p>
    <w:p w:rsidR="00091A38" w:rsidRPr="00D0702B" w:rsidRDefault="00091A38" w:rsidP="00091A38">
      <w:pPr>
        <w:pStyle w:val="Heading2"/>
        <w:spacing w:before="0"/>
        <w:rPr>
          <w:rFonts w:ascii="Arial" w:hAnsi="Arial" w:cs="Arial"/>
          <w:noProof/>
          <w:color w:val="333333"/>
          <w:sz w:val="21"/>
          <w:szCs w:val="21"/>
          <w:bdr w:val="none" w:sz="0" w:space="0" w:color="auto" w:frame="1"/>
          <w:shd w:val="clear" w:color="auto" w:fill="FFFFFF"/>
        </w:rPr>
      </w:pPr>
      <w:r w:rsidRPr="00D0702B">
        <w:rPr>
          <w:rFonts w:ascii="Arial" w:hAnsi="Arial" w:cs="Arial"/>
          <w:noProof/>
          <w:color w:val="333333"/>
          <w:sz w:val="21"/>
          <w:szCs w:val="21"/>
          <w:bdr w:val="none" w:sz="0" w:space="0" w:color="auto" w:frame="1"/>
          <w:shd w:val="clear" w:color="auto" w:fill="FFFFFF"/>
        </w:rPr>
        <w:lastRenderedPageBreak/>
        <w:t>TISSUE COLLECTION</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Tissue biopsy processing for analysis is evolving, with a trend away from the once-common formalin-fixed paraffin embedded (FFPE) preservation of biopsy tissue for future analysis to flash-freezing freshly harvested samples in liquid nitrogen and storage at –80˚C. Biopsy tissue samples should not exceed 0.5-cm dimensions, and regardless of whether preservatives are used, both preservation and freezing must occur rapidly.</w:t>
      </w:r>
      <w:r w:rsidRPr="00D0702B">
        <w:rPr>
          <w:rFonts w:ascii="Arial" w:hAnsi="Arial" w:cs="Arial"/>
          <w:noProof/>
          <w:color w:val="333333"/>
          <w:sz w:val="21"/>
          <w:szCs w:val="21"/>
          <w:vertAlign w:val="superscript"/>
        </w:rPr>
        <w:t>1</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“Paraffin-embedded tissue seems to be of lesser quality, particularly where extraction of DNA and/or RNA is concerned, requiring a level of skill on the part of the lab personnel that is rare,” Kaufman explains. Fine-needle collection of tumor tissue and cells is also common.</w:t>
      </w:r>
      <w:r w:rsidRPr="00D0702B">
        <w:rPr>
          <w:rFonts w:ascii="Arial" w:hAnsi="Arial" w:cs="Arial"/>
          <w:noProof/>
          <w:color w:val="333333"/>
          <w:sz w:val="21"/>
          <w:szCs w:val="21"/>
          <w:vertAlign w:val="superscript"/>
        </w:rPr>
        <w:t>1</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The timing of postcollection processing for preservation is key, and all equipment must be ready before collection begins.</w:t>
      </w:r>
      <w:r w:rsidRPr="00D0702B">
        <w:rPr>
          <w:rFonts w:ascii="Arial" w:hAnsi="Arial" w:cs="Arial"/>
          <w:noProof/>
          <w:color w:val="333333"/>
          <w:sz w:val="21"/>
          <w:szCs w:val="21"/>
          <w:vertAlign w:val="superscript"/>
        </w:rPr>
        <w:t>1</w:t>
      </w:r>
      <w:r w:rsidRPr="00D0702B">
        <w:rPr>
          <w:rStyle w:val="apple-converted-space"/>
          <w:rFonts w:ascii="Arial" w:hAnsi="Arial" w:cs="Arial"/>
          <w:noProof/>
          <w:color w:val="333333"/>
          <w:sz w:val="21"/>
          <w:szCs w:val="21"/>
        </w:rPr>
        <w:t> </w:t>
      </w:r>
      <w:r w:rsidRPr="00D0702B">
        <w:rPr>
          <w:rFonts w:ascii="Arial" w:hAnsi="Arial" w:cs="Arial"/>
          <w:noProof/>
          <w:color w:val="333333"/>
          <w:sz w:val="21"/>
          <w:szCs w:val="21"/>
        </w:rPr>
        <w:t>When collecting samples from resected surgical specimens, the time from when blood flow to the tissue is clamped off to the time of flash freezing or immersion in formalin should be minimal.</w:t>
      </w:r>
      <w:r w:rsidRPr="00D0702B">
        <w:rPr>
          <w:rFonts w:ascii="Arial" w:hAnsi="Arial" w:cs="Arial"/>
          <w:noProof/>
          <w:color w:val="333333"/>
          <w:sz w:val="21"/>
          <w:szCs w:val="21"/>
          <w:vertAlign w:val="superscript"/>
        </w:rPr>
        <w:t>1</w:t>
      </w:r>
      <w:r w:rsidRPr="00D0702B">
        <w:rPr>
          <w:rStyle w:val="apple-converted-space"/>
          <w:rFonts w:ascii="Arial" w:hAnsi="Arial" w:cs="Arial"/>
          <w:noProof/>
          <w:color w:val="333333"/>
          <w:sz w:val="21"/>
          <w:szCs w:val="21"/>
        </w:rPr>
        <w:t> </w:t>
      </w:r>
      <w:r w:rsidRPr="00D0702B">
        <w:rPr>
          <w:rFonts w:ascii="Arial" w:hAnsi="Arial" w:cs="Arial"/>
          <w:noProof/>
          <w:color w:val="333333"/>
          <w:sz w:val="21"/>
          <w:szCs w:val="21"/>
        </w:rPr>
        <w:t>Frequently, particularly when a patient is participating in a clinical trial, tissue sample preparation may need to follow precisely specified procedures for specific biomarker analyses.</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“I don't believe that any of the collection and processing techniques are particularly difficult,” Kaufman says. “The challenge is doing it all within the protocol-specified time frames, which are all different. It's more and more common that these details are so specific that they cannot be written into the protocol. A lab manual is then required.”</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For example, collecting tissue during a colonoscopy or bronchoscopy is a matter of being in the room, explaining to the clinician performing the procedure as to what to collect and from where, then accepting the tissue sample provided.</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“If there are eight pieces of tissues, they'll likely come in rapid-fire succession,” Kaufman explains. “Some will have to be put into cryo-vials and immediately placed into liquid nitrogen. Some will be put into a container with formalin. For the latter, the protocol will specify how long the tissue has to be in formalin before it's embedded in paraffin.”</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If paraffin blocks cannot be used, then slides are made from the paraffin block. “The nurse will have to navigate the institutional policies, arrange for paraffin embedding, and arrange for cutting slides, usually in a histology lab.”</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 xml:space="preserve">All cancer clinics should have written standard operating practices (SOPs) for these procedures. Even in clinics that do not participate in clinical trials, blood and tissue samples need to be collected </w:t>
      </w:r>
      <w:r w:rsidRPr="00D0702B">
        <w:rPr>
          <w:rFonts w:ascii="Arial" w:hAnsi="Arial" w:cs="Arial"/>
          <w:noProof/>
          <w:color w:val="333333"/>
          <w:sz w:val="21"/>
          <w:szCs w:val="21"/>
        </w:rPr>
        <w:lastRenderedPageBreak/>
        <w:t>for assays and gene sequencing that will likely guide the course of treatment for many patients with cancer, explained Kaufman.</w:t>
      </w:r>
    </w:p>
    <w:p w:rsidR="00091A38" w:rsidRPr="00D0702B" w:rsidRDefault="00091A38" w:rsidP="00091A38">
      <w:pPr>
        <w:pStyle w:val="Heading2"/>
        <w:shd w:val="clear" w:color="auto" w:fill="FFFFFF"/>
        <w:spacing w:before="0"/>
        <w:rPr>
          <w:rFonts w:ascii="Arial" w:hAnsi="Arial" w:cs="Arial"/>
          <w:noProof/>
          <w:color w:val="333333"/>
          <w:sz w:val="21"/>
          <w:szCs w:val="21"/>
        </w:rPr>
      </w:pPr>
      <w:r w:rsidRPr="00D0702B">
        <w:rPr>
          <w:rFonts w:ascii="Arial" w:hAnsi="Arial" w:cs="Arial"/>
          <w:noProof/>
          <w:color w:val="333333"/>
          <w:sz w:val="21"/>
          <w:szCs w:val="21"/>
        </w:rPr>
        <w:t>THE FUTURE</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With the increasing emphasis on biomarkers in treatment planning and monitoring and as biospecimen collection become more voluminous, many cancer centers may consider employing biospecimen resource managers. To date, many institutions tend to expect its oncology nurses to take on that role or have assigned others to become specialists/managers for biospecimen collecting.</w:t>
      </w:r>
    </w:p>
    <w:p w:rsidR="00091A38" w:rsidRPr="00D0702B" w:rsidRDefault="00091A38" w:rsidP="00091A38">
      <w:pPr>
        <w:pStyle w:val="NormalWeb"/>
        <w:shd w:val="clear" w:color="auto" w:fill="FFFFFF"/>
        <w:spacing w:before="0" w:beforeAutospacing="0" w:after="0" w:afterAutospacing="0" w:line="336" w:lineRule="atLeast"/>
        <w:rPr>
          <w:rFonts w:ascii="Arial" w:hAnsi="Arial" w:cs="Arial"/>
          <w:noProof/>
          <w:color w:val="333333"/>
          <w:sz w:val="21"/>
          <w:szCs w:val="21"/>
        </w:rPr>
      </w:pPr>
      <w:r w:rsidRPr="00D0702B">
        <w:rPr>
          <w:rFonts w:ascii="Arial" w:hAnsi="Arial" w:cs="Arial"/>
          <w:noProof/>
          <w:color w:val="333333"/>
          <w:sz w:val="21"/>
          <w:szCs w:val="21"/>
        </w:rPr>
        <w:t>“However, there's more involved than just assigning a person to manage the biospecimens,” Kaufman cautions. Quite a bit of infrastructure is also required, including laboratory facilities, freezers, storage—and</w:t>
      </w:r>
      <w:r w:rsidRPr="00D0702B">
        <w:rPr>
          <w:rStyle w:val="apple-converted-space"/>
          <w:rFonts w:ascii="Arial" w:hAnsi="Arial" w:cs="Arial"/>
          <w:noProof/>
          <w:color w:val="333333"/>
          <w:sz w:val="21"/>
          <w:szCs w:val="21"/>
        </w:rPr>
        <w:t> </w:t>
      </w:r>
      <w:r w:rsidRPr="00D0702B">
        <w:rPr>
          <w:rFonts w:ascii="Arial" w:hAnsi="Arial" w:cs="Arial"/>
          <w:i/>
          <w:iCs/>
          <w:noProof/>
          <w:color w:val="333333"/>
          <w:sz w:val="21"/>
          <w:szCs w:val="21"/>
          <w:bdr w:val="none" w:sz="0" w:space="0" w:color="auto" w:frame="1"/>
        </w:rPr>
        <w:t>policy</w:t>
      </w:r>
      <w:r w:rsidRPr="00D0702B">
        <w:rPr>
          <w:rStyle w:val="apple-converted-space"/>
          <w:rFonts w:ascii="Arial" w:hAnsi="Arial" w:cs="Arial"/>
          <w:noProof/>
          <w:color w:val="333333"/>
          <w:sz w:val="21"/>
          <w:szCs w:val="21"/>
        </w:rPr>
        <w:t> </w:t>
      </w:r>
      <w:r w:rsidRPr="00D0702B">
        <w:rPr>
          <w:rFonts w:ascii="Arial" w:hAnsi="Arial" w:cs="Arial"/>
          <w:noProof/>
          <w:color w:val="333333"/>
          <w:sz w:val="21"/>
          <w:szCs w:val="21"/>
        </w:rPr>
        <w:t>for accessing clinical archives for research, the approvals required, and biospecimens and biosafety review committees.</w:t>
      </w:r>
    </w:p>
    <w:p w:rsidR="00091A38" w:rsidRPr="00D0702B" w:rsidRDefault="00091A38" w:rsidP="00091A38">
      <w:pPr>
        <w:pStyle w:val="NormalWeb"/>
        <w:shd w:val="clear" w:color="auto" w:fill="FFFFFF"/>
        <w:spacing w:before="0" w:beforeAutospacing="0" w:after="375" w:afterAutospacing="0" w:line="336" w:lineRule="atLeast"/>
        <w:rPr>
          <w:rFonts w:ascii="Arial" w:hAnsi="Arial" w:cs="Arial"/>
          <w:noProof/>
          <w:color w:val="333333"/>
          <w:sz w:val="21"/>
          <w:szCs w:val="21"/>
        </w:rPr>
      </w:pPr>
      <w:r w:rsidRPr="00D0702B">
        <w:rPr>
          <w:rFonts w:ascii="Arial" w:hAnsi="Arial" w:cs="Arial"/>
          <w:noProof/>
          <w:color w:val="333333"/>
          <w:sz w:val="21"/>
          <w:szCs w:val="21"/>
        </w:rPr>
        <w:t>Understanding cancer at the molecular-genetic level will lead to detailed diagnoses and precise treatment planning, Kaufman and coauthors predict.</w:t>
      </w:r>
      <w:r w:rsidRPr="00D0702B">
        <w:rPr>
          <w:rFonts w:ascii="Arial" w:hAnsi="Arial" w:cs="Arial"/>
          <w:noProof/>
          <w:color w:val="333333"/>
          <w:sz w:val="21"/>
          <w:szCs w:val="21"/>
          <w:vertAlign w:val="superscript"/>
        </w:rPr>
        <w:t>1</w:t>
      </w:r>
      <w:r w:rsidRPr="00D0702B">
        <w:rPr>
          <w:rStyle w:val="apple-converted-space"/>
          <w:rFonts w:ascii="Arial" w:hAnsi="Arial" w:cs="Arial"/>
          <w:noProof/>
          <w:color w:val="333333"/>
          <w:sz w:val="21"/>
          <w:szCs w:val="21"/>
        </w:rPr>
        <w:t> </w:t>
      </w:r>
      <w:r w:rsidRPr="00D0702B">
        <w:rPr>
          <w:rFonts w:ascii="Arial" w:hAnsi="Arial" w:cs="Arial"/>
          <w:noProof/>
          <w:color w:val="333333"/>
          <w:sz w:val="21"/>
          <w:szCs w:val="21"/>
        </w:rPr>
        <w:t>“Among the emerging responsibilities of the oncology nurse is helping patients to take control of their disease and treatment.”  </w:t>
      </w:r>
    </w:p>
    <w:p w:rsidR="00091A38" w:rsidRPr="00D0702B" w:rsidRDefault="00091A38" w:rsidP="00091A38">
      <w:pPr>
        <w:shd w:val="clear" w:color="auto" w:fill="FFFFFF"/>
        <w:spacing w:after="375" w:line="336" w:lineRule="atLeast"/>
        <w:rPr>
          <w:rFonts w:ascii="Arial" w:eastAsia="Times New Roman" w:hAnsi="Arial" w:cs="Arial"/>
          <w:noProof/>
          <w:color w:val="333333"/>
          <w:sz w:val="21"/>
          <w:szCs w:val="21"/>
        </w:rPr>
      </w:pPr>
      <w:r w:rsidRPr="00D0702B">
        <w:rPr>
          <w:rFonts w:ascii="Arial" w:eastAsia="Times New Roman" w:hAnsi="Arial" w:cs="Arial"/>
          <w:noProof/>
          <w:color w:val="333333"/>
          <w:sz w:val="21"/>
          <w:szCs w:val="21"/>
        </w:rPr>
        <w:t>“Once again, the oncology nurse will need to be a navigator,” Kaufman explains—a role that is itself undergoing a transformation in the era of personalized oncology care. “The role of navigator has changed from helping the patient navigate the possibilities for cancer treatment, to helping the patient navigate ethics, genetics, prevention options, family history, and costs.”</w:t>
      </w:r>
    </w:p>
    <w:p w:rsidR="00091A38" w:rsidRPr="00D0702B" w:rsidRDefault="00091A38" w:rsidP="00091A38">
      <w:pPr>
        <w:shd w:val="clear" w:color="auto" w:fill="FFFFFF"/>
        <w:spacing w:after="375" w:line="336" w:lineRule="atLeast"/>
        <w:rPr>
          <w:rFonts w:ascii="Arial" w:eastAsia="Times New Roman" w:hAnsi="Arial" w:cs="Arial"/>
          <w:noProof/>
          <w:color w:val="333333"/>
          <w:sz w:val="21"/>
          <w:szCs w:val="21"/>
        </w:rPr>
      </w:pPr>
      <w:r w:rsidRPr="00D0702B">
        <w:rPr>
          <w:rFonts w:ascii="Arial" w:eastAsia="Times New Roman" w:hAnsi="Arial" w:cs="Arial"/>
          <w:noProof/>
          <w:color w:val="333333"/>
          <w:sz w:val="21"/>
          <w:szCs w:val="21"/>
        </w:rPr>
        <w:t>One often-neglected facet of personalized oncology is the availability to individual patients of independent whole-genome sequencing with a single blood draw, at a cost of approximately $1,000. “This provides the patient with a huge amount of information but very little context and no truly reliable interpretation,” Kaufman warns. One of the emerging roles of the oncology nurse will be to help patients evaluate their probable risks based on genetic, lifestyle, and other factors.</w:t>
      </w:r>
    </w:p>
    <w:p w:rsidR="00091A38" w:rsidRPr="00D0702B" w:rsidRDefault="00091A38" w:rsidP="00091A38">
      <w:pPr>
        <w:shd w:val="clear" w:color="auto" w:fill="FFFFFF"/>
        <w:spacing w:after="375" w:line="336" w:lineRule="atLeast"/>
        <w:rPr>
          <w:rFonts w:ascii="Arial" w:eastAsia="Times New Roman" w:hAnsi="Arial" w:cs="Arial"/>
          <w:noProof/>
          <w:color w:val="333333"/>
          <w:sz w:val="21"/>
          <w:szCs w:val="21"/>
        </w:rPr>
      </w:pPr>
      <w:r w:rsidRPr="00D0702B">
        <w:rPr>
          <w:rFonts w:ascii="Arial" w:eastAsia="Times New Roman" w:hAnsi="Arial" w:cs="Arial"/>
          <w:noProof/>
          <w:color w:val="333333"/>
          <w:sz w:val="21"/>
          <w:szCs w:val="21"/>
        </w:rPr>
        <w:t>“The science is changing very quickly,” Kaufman notes. “Oncology nurses have always had to participate in continuing education. It now more critical than ever.”</w:t>
      </w:r>
    </w:p>
    <w:p w:rsidR="00091A38" w:rsidRPr="00D0702B" w:rsidRDefault="00E71795" w:rsidP="00091A38">
      <w:pPr>
        <w:spacing w:after="0" w:line="240" w:lineRule="auto"/>
        <w:rPr>
          <w:rFonts w:ascii="Times New Roman" w:eastAsia="Times New Roman" w:hAnsi="Times New Roman" w:cs="Times New Roman"/>
          <w:noProof/>
          <w:sz w:val="24"/>
          <w:szCs w:val="24"/>
        </w:rPr>
      </w:pPr>
      <w:r w:rsidRPr="00E71795">
        <w:rPr>
          <w:rFonts w:ascii="Times New Roman" w:eastAsia="Times New Roman" w:hAnsi="Times New Roman" w:cs="Times New Roman"/>
          <w:noProof/>
          <w:sz w:val="24"/>
          <w:szCs w:val="24"/>
        </w:rPr>
        <w:pict>
          <v:rect id="_x0000_i1025" style="width:0;height:1.5pt" o:hralign="center" o:hrstd="t" o:hrnoshade="t" o:hr="t" fillcolor="#333" stroked="f"/>
        </w:pict>
      </w:r>
    </w:p>
    <w:p w:rsidR="00091A38" w:rsidRPr="00D0702B" w:rsidRDefault="00091A38" w:rsidP="00091A38">
      <w:pPr>
        <w:spacing w:after="0" w:line="240" w:lineRule="auto"/>
        <w:rPr>
          <w:rFonts w:ascii="Times New Roman" w:eastAsia="Times New Roman" w:hAnsi="Times New Roman" w:cs="Times New Roman"/>
          <w:noProof/>
          <w:sz w:val="24"/>
          <w:szCs w:val="24"/>
        </w:rPr>
      </w:pPr>
      <w:r w:rsidRPr="00D0702B">
        <w:rPr>
          <w:rFonts w:ascii="Arial" w:eastAsia="Times New Roman" w:hAnsi="Arial" w:cs="Arial"/>
          <w:b/>
          <w:bCs/>
          <w:noProof/>
          <w:color w:val="333333"/>
          <w:sz w:val="21"/>
          <w:szCs w:val="21"/>
          <w:bdr w:val="none" w:sz="0" w:space="0" w:color="auto" w:frame="1"/>
          <w:shd w:val="clear" w:color="auto" w:fill="FFFFFF"/>
        </w:rPr>
        <w:t>Bryant Furlow</w:t>
      </w:r>
      <w:r w:rsidRPr="00D0702B">
        <w:rPr>
          <w:rFonts w:ascii="Arial" w:eastAsia="Times New Roman" w:hAnsi="Arial" w:cs="Arial"/>
          <w:noProof/>
          <w:color w:val="333333"/>
          <w:sz w:val="21"/>
        </w:rPr>
        <w:t> </w:t>
      </w:r>
      <w:r w:rsidRPr="00D0702B">
        <w:rPr>
          <w:rFonts w:ascii="Arial" w:eastAsia="Times New Roman" w:hAnsi="Arial" w:cs="Arial"/>
          <w:noProof/>
          <w:color w:val="333333"/>
          <w:sz w:val="21"/>
          <w:szCs w:val="21"/>
          <w:shd w:val="clear" w:color="auto" w:fill="FFFFFF"/>
        </w:rPr>
        <w:t>is a medical journalist based in Albuquerque, New Mexico. </w:t>
      </w:r>
    </w:p>
    <w:p w:rsidR="00091A38" w:rsidRPr="00D0702B" w:rsidRDefault="00E71795" w:rsidP="00091A38">
      <w:pPr>
        <w:spacing w:after="0" w:line="240" w:lineRule="auto"/>
        <w:rPr>
          <w:rFonts w:ascii="Times New Roman" w:eastAsia="Times New Roman" w:hAnsi="Times New Roman" w:cs="Times New Roman"/>
          <w:noProof/>
          <w:sz w:val="24"/>
          <w:szCs w:val="24"/>
        </w:rPr>
      </w:pPr>
      <w:r w:rsidRPr="00E71795">
        <w:rPr>
          <w:rFonts w:ascii="Times New Roman" w:eastAsia="Times New Roman" w:hAnsi="Times New Roman" w:cs="Times New Roman"/>
          <w:noProof/>
          <w:sz w:val="24"/>
          <w:szCs w:val="24"/>
        </w:rPr>
        <w:pict>
          <v:rect id="_x0000_i1026" style="width:0;height:1.5pt" o:hralign="center" o:hrstd="t" o:hrnoshade="t" o:hr="t" fillcolor="#333" stroked="f"/>
        </w:pict>
      </w:r>
    </w:p>
    <w:p w:rsidR="00091A38" w:rsidRPr="00D0702B" w:rsidRDefault="00091A38" w:rsidP="00091A38">
      <w:pPr>
        <w:shd w:val="clear" w:color="auto" w:fill="FFFFFF"/>
        <w:spacing w:after="0" w:line="336" w:lineRule="atLeast"/>
        <w:rPr>
          <w:rFonts w:ascii="Arial" w:eastAsia="Times New Roman" w:hAnsi="Arial" w:cs="Arial"/>
          <w:noProof/>
          <w:color w:val="333333"/>
          <w:sz w:val="21"/>
          <w:szCs w:val="21"/>
        </w:rPr>
      </w:pPr>
      <w:r w:rsidRPr="00D0702B">
        <w:rPr>
          <w:rFonts w:ascii="Arial" w:eastAsia="Times New Roman" w:hAnsi="Arial" w:cs="Arial"/>
          <w:b/>
          <w:bCs/>
          <w:noProof/>
          <w:color w:val="333333"/>
          <w:sz w:val="21"/>
          <w:szCs w:val="21"/>
          <w:bdr w:val="none" w:sz="0" w:space="0" w:color="auto" w:frame="1"/>
        </w:rPr>
        <w:t>REFERENCES</w:t>
      </w:r>
    </w:p>
    <w:p w:rsidR="00091A38" w:rsidRPr="00D0702B" w:rsidRDefault="00091A38" w:rsidP="00091A38">
      <w:pPr>
        <w:shd w:val="clear" w:color="auto" w:fill="FFFFFF"/>
        <w:spacing w:after="0" w:line="336" w:lineRule="atLeast"/>
        <w:rPr>
          <w:rFonts w:ascii="Arial" w:eastAsia="Times New Roman" w:hAnsi="Arial" w:cs="Arial"/>
          <w:noProof/>
          <w:color w:val="333333"/>
          <w:sz w:val="21"/>
          <w:szCs w:val="21"/>
        </w:rPr>
      </w:pPr>
      <w:r w:rsidRPr="00D0702B">
        <w:rPr>
          <w:rFonts w:ascii="Arial" w:eastAsia="Times New Roman" w:hAnsi="Arial" w:cs="Arial"/>
          <w:noProof/>
          <w:color w:val="333333"/>
          <w:sz w:val="21"/>
          <w:szCs w:val="21"/>
        </w:rPr>
        <w:t>1. Neumann RM, Garvey C, Kaufman S. Biospecimen collection, processing, and analysis: new challenges for oncology nurses.</w:t>
      </w:r>
      <w:r w:rsidRPr="00D0702B">
        <w:rPr>
          <w:rFonts w:ascii="Arial" w:eastAsia="Times New Roman" w:hAnsi="Arial" w:cs="Arial"/>
          <w:noProof/>
          <w:color w:val="333333"/>
          <w:sz w:val="21"/>
        </w:rPr>
        <w:t> </w:t>
      </w:r>
      <w:r w:rsidRPr="00D0702B">
        <w:rPr>
          <w:rFonts w:ascii="Arial" w:eastAsia="Times New Roman" w:hAnsi="Arial" w:cs="Arial"/>
          <w:i/>
          <w:iCs/>
          <w:noProof/>
          <w:color w:val="333333"/>
          <w:sz w:val="21"/>
          <w:szCs w:val="21"/>
          <w:bdr w:val="none" w:sz="0" w:space="0" w:color="auto" w:frame="1"/>
        </w:rPr>
        <w:t>Semin Oncol Nurs.</w:t>
      </w:r>
      <w:r w:rsidRPr="00D0702B">
        <w:rPr>
          <w:rFonts w:ascii="Arial" w:eastAsia="Times New Roman" w:hAnsi="Arial" w:cs="Arial"/>
          <w:i/>
          <w:iCs/>
          <w:noProof/>
          <w:color w:val="333333"/>
          <w:sz w:val="21"/>
        </w:rPr>
        <w:t> </w:t>
      </w:r>
      <w:r w:rsidRPr="00D0702B">
        <w:rPr>
          <w:rFonts w:ascii="Arial" w:eastAsia="Times New Roman" w:hAnsi="Arial" w:cs="Arial"/>
          <w:noProof/>
          <w:color w:val="333333"/>
          <w:sz w:val="21"/>
          <w:szCs w:val="21"/>
        </w:rPr>
        <w:t>2014;30(2):117-123. doi:10.1016/j.soncn.2014.03.005</w:t>
      </w:r>
    </w:p>
    <w:p w:rsidR="00091A38" w:rsidRPr="00D0702B" w:rsidRDefault="00091A38" w:rsidP="00091A38">
      <w:pPr>
        <w:shd w:val="clear" w:color="auto" w:fill="FFFFFF"/>
        <w:spacing w:after="0" w:line="336" w:lineRule="atLeast"/>
        <w:rPr>
          <w:rFonts w:ascii="Arial" w:eastAsia="Times New Roman" w:hAnsi="Arial" w:cs="Arial"/>
          <w:noProof/>
          <w:color w:val="333333"/>
          <w:sz w:val="21"/>
          <w:szCs w:val="21"/>
        </w:rPr>
      </w:pPr>
      <w:r w:rsidRPr="00D0702B">
        <w:rPr>
          <w:rFonts w:ascii="Arial" w:eastAsia="Times New Roman" w:hAnsi="Arial" w:cs="Arial"/>
          <w:noProof/>
          <w:color w:val="333333"/>
          <w:sz w:val="21"/>
          <w:szCs w:val="21"/>
        </w:rPr>
        <w:lastRenderedPageBreak/>
        <w:t>2. Richmond ES, Dunn D. Biomarkers: an overview for oncology nurses.</w:t>
      </w:r>
      <w:r w:rsidRPr="00D0702B">
        <w:rPr>
          <w:rFonts w:ascii="Arial" w:eastAsia="Times New Roman" w:hAnsi="Arial" w:cs="Arial"/>
          <w:noProof/>
          <w:color w:val="333333"/>
          <w:sz w:val="21"/>
        </w:rPr>
        <w:t> </w:t>
      </w:r>
      <w:r w:rsidRPr="00D0702B">
        <w:rPr>
          <w:rFonts w:ascii="Arial" w:eastAsia="Times New Roman" w:hAnsi="Arial" w:cs="Arial"/>
          <w:i/>
          <w:iCs/>
          <w:noProof/>
          <w:color w:val="333333"/>
          <w:sz w:val="21"/>
          <w:szCs w:val="21"/>
          <w:bdr w:val="none" w:sz="0" w:space="0" w:color="auto" w:frame="1"/>
        </w:rPr>
        <w:t>Semin Oncol Nurs.</w:t>
      </w:r>
      <w:r w:rsidRPr="00D0702B">
        <w:rPr>
          <w:rFonts w:ascii="Arial" w:eastAsia="Times New Roman" w:hAnsi="Arial" w:cs="Arial"/>
          <w:noProof/>
          <w:color w:val="333333"/>
          <w:sz w:val="21"/>
          <w:szCs w:val="21"/>
        </w:rPr>
        <w:t>2012;28(2):87-92. doi:10.1016/j.soncn.2012.03.002</w:t>
      </w:r>
    </w:p>
    <w:p w:rsidR="00091A38" w:rsidRPr="00D0702B" w:rsidRDefault="00091A38" w:rsidP="00091A38">
      <w:pPr>
        <w:shd w:val="clear" w:color="auto" w:fill="FFFFFF"/>
        <w:spacing w:before="120" w:after="225" w:line="264" w:lineRule="atLeast"/>
        <w:outlineLvl w:val="0"/>
        <w:rPr>
          <w:rFonts w:ascii="Georgia" w:eastAsia="Times New Roman" w:hAnsi="Georgia" w:cs="Times New Roman"/>
          <w:noProof/>
          <w:color w:val="333333"/>
          <w:kern w:val="36"/>
          <w:sz w:val="42"/>
          <w:szCs w:val="42"/>
        </w:rPr>
      </w:pPr>
      <w:r w:rsidRPr="00D0702B">
        <w:rPr>
          <w:rFonts w:ascii="Arial" w:eastAsia="Times New Roman" w:hAnsi="Arial" w:cs="Arial"/>
          <w:noProof/>
          <w:color w:val="333333"/>
          <w:sz w:val="21"/>
          <w:szCs w:val="21"/>
          <w:shd w:val="clear" w:color="auto" w:fill="FFFFFF"/>
        </w:rPr>
        <w:t>3. Furlow B. Circulating tumor cells: the coming era of ‘liquid biopsies.'</w:t>
      </w:r>
      <w:r w:rsidRPr="00D0702B">
        <w:rPr>
          <w:rFonts w:ascii="Arial" w:eastAsia="Times New Roman" w:hAnsi="Arial" w:cs="Arial"/>
          <w:noProof/>
          <w:color w:val="333333"/>
          <w:sz w:val="21"/>
        </w:rPr>
        <w:t> </w:t>
      </w:r>
      <w:r w:rsidRPr="00D0702B">
        <w:rPr>
          <w:rFonts w:ascii="Arial" w:eastAsia="Times New Roman" w:hAnsi="Arial" w:cs="Arial"/>
          <w:i/>
          <w:iCs/>
          <w:noProof/>
          <w:color w:val="333333"/>
          <w:sz w:val="21"/>
          <w:szCs w:val="21"/>
          <w:bdr w:val="none" w:sz="0" w:space="0" w:color="auto" w:frame="1"/>
          <w:shd w:val="clear" w:color="auto" w:fill="FFFFFF"/>
        </w:rPr>
        <w:t>Cancer Therapy Advisor</w:t>
      </w:r>
      <w:r w:rsidRPr="00D0702B">
        <w:rPr>
          <w:rFonts w:ascii="Arial" w:eastAsia="Times New Roman" w:hAnsi="Arial" w:cs="Arial"/>
          <w:noProof/>
          <w:color w:val="333333"/>
          <w:sz w:val="21"/>
          <w:szCs w:val="21"/>
          <w:shd w:val="clear" w:color="auto" w:fill="FFFFFF"/>
        </w:rPr>
        <w:t>.</w:t>
      </w:r>
      <w:hyperlink r:id="rId4" w:history="1">
        <w:r w:rsidRPr="00D0702B">
          <w:rPr>
            <w:rFonts w:ascii="Arial" w:eastAsia="Times New Roman" w:hAnsi="Arial" w:cs="Arial"/>
            <w:noProof/>
            <w:color w:val="1F5376"/>
            <w:sz w:val="21"/>
          </w:rPr>
          <w:t>http://www.cancertherapyadvisor.com/circulating-tumor-cells-the-coming-era-of-liquid-biopsies/article/355315/</w:t>
        </w:r>
      </w:hyperlink>
      <w:r w:rsidRPr="00D0702B">
        <w:rPr>
          <w:rFonts w:ascii="Arial" w:eastAsia="Times New Roman" w:hAnsi="Arial" w:cs="Arial"/>
          <w:noProof/>
          <w:color w:val="333333"/>
          <w:sz w:val="21"/>
          <w:szCs w:val="21"/>
          <w:shd w:val="clear" w:color="auto" w:fill="FFFFFF"/>
        </w:rPr>
        <w:t>. Published June 11, 2014. Accessed December 5, 2014.</w:t>
      </w:r>
    </w:p>
    <w:p w:rsidR="00E83724" w:rsidRPr="00D0702B" w:rsidRDefault="00E83724">
      <w:pPr>
        <w:rPr>
          <w:noProof/>
        </w:rPr>
      </w:pPr>
    </w:p>
    <w:sectPr w:rsidR="00E83724" w:rsidRPr="00D0702B" w:rsidSect="008F1E4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N/5SVHCuQDw52+Zqf/IsmdHLj28=" w:salt="mtjH8bYmGhu4KKEs1wit5w=="/>
  <w:defaultTabStop w:val="720"/>
  <w:characterSpacingControl w:val="doNotCompress"/>
  <w:compat>
    <w:useFELayout/>
  </w:compat>
  <w:rsids>
    <w:rsidRoot w:val="00091A38"/>
    <w:rsid w:val="00091A38"/>
    <w:rsid w:val="00420361"/>
    <w:rsid w:val="008F1E45"/>
    <w:rsid w:val="00D0702B"/>
    <w:rsid w:val="00E71795"/>
    <w:rsid w:val="00E83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45"/>
  </w:style>
  <w:style w:type="paragraph" w:styleId="Heading1">
    <w:name w:val="heading 1"/>
    <w:basedOn w:val="Normal"/>
    <w:link w:val="Heading1Char"/>
    <w:uiPriority w:val="9"/>
    <w:qFormat/>
    <w:rsid w:val="00091A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91A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A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91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1A38"/>
  </w:style>
  <w:style w:type="character" w:customStyle="1" w:styleId="Heading2Char">
    <w:name w:val="Heading 2 Char"/>
    <w:basedOn w:val="DefaultParagraphFont"/>
    <w:link w:val="Heading2"/>
    <w:uiPriority w:val="9"/>
    <w:semiHidden/>
    <w:rsid w:val="00091A3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091A38"/>
    <w:rPr>
      <w:color w:val="0000FF"/>
      <w:u w:val="single"/>
    </w:rPr>
  </w:style>
</w:styles>
</file>

<file path=word/webSettings.xml><?xml version="1.0" encoding="utf-8"?>
<w:webSettings xmlns:r="http://schemas.openxmlformats.org/officeDocument/2006/relationships" xmlns:w="http://schemas.openxmlformats.org/wordprocessingml/2006/main">
  <w:divs>
    <w:div w:id="388965334">
      <w:bodyDiv w:val="1"/>
      <w:marLeft w:val="0"/>
      <w:marRight w:val="0"/>
      <w:marTop w:val="0"/>
      <w:marBottom w:val="0"/>
      <w:divBdr>
        <w:top w:val="none" w:sz="0" w:space="0" w:color="auto"/>
        <w:left w:val="none" w:sz="0" w:space="0" w:color="auto"/>
        <w:bottom w:val="none" w:sz="0" w:space="0" w:color="auto"/>
        <w:right w:val="none" w:sz="0" w:space="0" w:color="auto"/>
      </w:divBdr>
    </w:div>
    <w:div w:id="887230195">
      <w:bodyDiv w:val="1"/>
      <w:marLeft w:val="0"/>
      <w:marRight w:val="0"/>
      <w:marTop w:val="0"/>
      <w:marBottom w:val="0"/>
      <w:divBdr>
        <w:top w:val="none" w:sz="0" w:space="0" w:color="auto"/>
        <w:left w:val="none" w:sz="0" w:space="0" w:color="auto"/>
        <w:bottom w:val="none" w:sz="0" w:space="0" w:color="auto"/>
        <w:right w:val="none" w:sz="0" w:space="0" w:color="auto"/>
      </w:divBdr>
    </w:div>
    <w:div w:id="985547950">
      <w:bodyDiv w:val="1"/>
      <w:marLeft w:val="0"/>
      <w:marRight w:val="0"/>
      <w:marTop w:val="0"/>
      <w:marBottom w:val="0"/>
      <w:divBdr>
        <w:top w:val="none" w:sz="0" w:space="0" w:color="auto"/>
        <w:left w:val="none" w:sz="0" w:space="0" w:color="auto"/>
        <w:bottom w:val="none" w:sz="0" w:space="0" w:color="auto"/>
        <w:right w:val="none" w:sz="0" w:space="0" w:color="auto"/>
      </w:divBdr>
    </w:div>
    <w:div w:id="1184049602">
      <w:bodyDiv w:val="1"/>
      <w:marLeft w:val="0"/>
      <w:marRight w:val="0"/>
      <w:marTop w:val="0"/>
      <w:marBottom w:val="0"/>
      <w:divBdr>
        <w:top w:val="none" w:sz="0" w:space="0" w:color="auto"/>
        <w:left w:val="none" w:sz="0" w:space="0" w:color="auto"/>
        <w:bottom w:val="none" w:sz="0" w:space="0" w:color="auto"/>
        <w:right w:val="none" w:sz="0" w:space="0" w:color="auto"/>
      </w:divBdr>
    </w:div>
    <w:div w:id="1430855202">
      <w:bodyDiv w:val="1"/>
      <w:marLeft w:val="0"/>
      <w:marRight w:val="0"/>
      <w:marTop w:val="0"/>
      <w:marBottom w:val="0"/>
      <w:divBdr>
        <w:top w:val="none" w:sz="0" w:space="0" w:color="auto"/>
        <w:left w:val="none" w:sz="0" w:space="0" w:color="auto"/>
        <w:bottom w:val="none" w:sz="0" w:space="0" w:color="auto"/>
        <w:right w:val="none" w:sz="0" w:space="0" w:color="auto"/>
      </w:divBdr>
    </w:div>
    <w:div w:id="206505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ncertherapyadvisor.com/circulating-tumor-cells-the-coming-era-of-liquid-biopsies/article/355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2001</Words>
  <Characters>11411</Characters>
  <Application>Microsoft Office Word</Application>
  <DocSecurity>8</DocSecurity>
  <Lines>95</Lines>
  <Paragraphs>26</Paragraphs>
  <ScaleCrop>false</ScaleCrop>
  <Company/>
  <LinksUpToDate>false</LinksUpToDate>
  <CharactersWithSpaces>13386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2014-12-15T08:56:00Z</dcterms:created>
  <dcterms:modified xsi:type="dcterms:W3CDTF">2015-01-31T05:31:00Z</dcterms:modified>
</cp:coreProperties>
</file>